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rPr>
          <w:rFonts w:ascii="Calibri" w:cs="Calibri" w:eastAsia="Calibri" w:hAnsi="Calibri"/>
          <w:b/>
          <w:bCs/>
          <w:color w:val="1F3864"/>
          <w:sz w:val="30"/>
          <w:szCs w:val="30"/>
        </w:rPr>
        <w:t xml:space="preserve">SynRae Research</w:t>
      </w:r>
    </w:p>
    <w:p>
      <w:pPr>
        <w:spacing w:after="20" w:before="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Morning Note  |  Tuesday 29 September 2026  |  06:30 ET</w:t>
      </w:r>
    </w:p>
    <w:p>
      <w:pPr>
        <w:spacing w:after="20" w:before="0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Coverage: AI Infrastructure, Power, Defense-Tech &amp; Critical Materials (100-name book)</w:t>
      </w:r>
    </w:p>
    <w:p>
      <w:pPr>
        <w:spacing w:after="60" w:before="0"/>
      </w:pPr>
      <w:r>
        <w:rPr>
          <w:rFonts w:ascii="Calibri" w:cs="Calibri" w:eastAsia="Calibri" w:hAnsi="Calibri"/>
          <w:i/>
          <w:iCs/>
          <w:color w:val="595959"/>
          <w:sz w:val="16"/>
          <w:szCs w:val="16"/>
        </w:rPr>
        <w:t xml:space="preserve">Prices: SynRae/Futu capital-distribution snapshot, 28-Sep-26 16:00 ET close. Snapshot generated 29-Sep-26 03:02 ET. Pre-market may move before the open.</w:t>
      </w:r>
    </w:p>
    <w:p>
      <w:pPr>
        <w:pBdr>
          <w:bottom w:val="single" w:color="1F3864" w:sz="8" w:space="1"/>
        </w:pBdr>
        <w:spacing w:after="120"/>
      </w:pPr>
    </w:p>
    <w:p>
      <w:pPr>
        <w:pStyle w:val="Heading2"/>
        <w:spacing w:before="200" w:after="9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Top Call: This is a rates de-rating, not an AI-demand crack</w:t>
      </w:r>
    </w:p>
    <w:p>
      <w:pPr>
        <w:spacing w:after="100" w:before="0"/>
      </w:pPr>
      <w:r>
        <w:rPr>
          <w:rFonts w:ascii="Calibri" w:cs="Calibri" w:eastAsia="Calibri" w:hAnsi="Calibri"/>
          <w:color w:val="000000"/>
          <w:sz w:val="19"/>
          <w:szCs w:val="19"/>
        </w:rPr>
        <w:t xml:space="preserve">The whole book sold off in lockstep Monday: </w:t>
      </w:r>
      <w:r>
        <w:rPr>
          <w:rFonts w:ascii="Calibri" w:cs="Calibri" w:eastAsia="Calibri" w:hAnsi="Calibri"/>
          <w:b/>
          <w:bCs/>
          <w:color w:val="000000"/>
          <w:sz w:val="19"/>
          <w:szCs w:val="19"/>
        </w:rPr>
        <w:t xml:space="preserve">79 of 100 names down, average -1.81%, net capital outflow -$728m, of which -$379m was super/big-lot (institutional-sized) money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 (SynRae/Futu, 28-Sep 16:00 ET). The driver was macro, not company news. The S&amp;P 500 closed -0.77% at 7,683.69 and the Nasdaq Composite -0.92% at 26,820.38 (CNBC, 28-Sep), with the 10-year Treasury yield up as much as 11bp to 5.27%, a 19-year high, as elevated oil on the US-Iran / Strait of Hormuz standoff pushed traders toward pricing another Fed hike (Bloomberg, 28-Sep). Kalshi and Polymarket put a 25bp hike at the 28-Oct FOMC at roughly 69% as of 29-Sep (DeFi Rate).</w:t>
      </w:r>
    </w:p>
    <w:p>
      <w:pPr>
        <w:spacing w:after="100" w:before="0"/>
      </w:pPr>
      <w:r>
        <w:rPr>
          <w:rFonts w:ascii="Calibri" w:cs="Calibri" w:eastAsia="Calibri" w:hAnsi="Calibri"/>
          <w:b/>
          <w:bCs/>
          <w:color w:val="000000"/>
          <w:sz w:val="19"/>
          <w:szCs w:val="19"/>
        </w:rPr>
        <w:t xml:space="preserve">Our take: 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long-duration AI infrastructure is being sold as a bond proxy. Nothing in Monday's tape disputes the demand story - Micron's own FQ4 guide (~$50bn revenue, ~$31 adj. EPS, ~86% gross margin; reports 30-Sep) still frames a memory supercycle. </w:t>
      </w:r>
      <w:r>
        <w:rPr>
          <w:rFonts w:ascii="Calibri" w:cs="Calibri" w:eastAsia="Calibri" w:hAnsi="Calibri"/>
          <w:b/>
          <w:bCs/>
          <w:color w:val="000000"/>
          <w:sz w:val="19"/>
          <w:szCs w:val="19"/>
        </w:rPr>
        <w:t xml:space="preserve">Stay long the physical-bottleneck names (power, electrical, optics), use the selloff to upgrade quality, and cut the speculative tail (quantum, pre-revenue neoclouds) where flows show genuine institutional exit.</w:t>
      </w:r>
    </w:p>
    <w:p>
      <w:pPr>
        <w:pStyle w:val="Heading2"/>
        <w:spacing w:before="200" w:after="9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Overnight / Pre-Market Developments</w:t>
      </w:r>
    </w:p>
    <w:p>
      <w:pPr>
        <w:pStyle w:val="ListParagraph"/>
        <w:numPr>
          <w:ilvl w:val="0"/>
          <w:numId w:val="1"/>
        </w:numPr>
        <w:spacing w:after="70" w:before="0"/>
      </w:pPr>
      <w:r>
        <w:rPr>
          <w:rFonts w:ascii="Calibri" w:cs="Calibri" w:eastAsia="Calibri" w:hAnsi="Calibri"/>
          <w:b/>
          <w:bCs/>
          <w:color w:val="000000"/>
          <w:sz w:val="19"/>
          <w:szCs w:val="19"/>
        </w:rPr>
        <w:t xml:space="preserve">BE -8.9% to $262.87 - best flow setup in the book. 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Fell on profit-taking after a ~274% 12-month run and lingering Oracle "Project Jupiter" force-majeure concerns (Benzinga / Seeking Alpha, 24-28 Sep). But the flow split is the story: -$45.6m total outflow while super+big lots were net buyers (+$1.9m) - retail did the selling. RBC reiterated Outperform, $335 PT on the Fremont capacity add (TipRanks, 28-Sep).</w:t>
      </w:r>
    </w:p>
    <w:p>
      <w:pPr>
        <w:pStyle w:val="ListParagraph"/>
        <w:numPr>
          <w:ilvl w:val="0"/>
          <w:numId w:val="1"/>
        </w:numPr>
        <w:spacing w:after="70" w:before="0"/>
      </w:pPr>
      <w:r>
        <w:rPr>
          <w:rFonts w:ascii="Calibri" w:cs="Calibri" w:eastAsia="Calibri" w:hAnsi="Calibri"/>
          <w:b/>
          <w:bCs/>
          <w:color w:val="000000"/>
          <w:sz w:val="19"/>
          <w:szCs w:val="19"/>
        </w:rPr>
        <w:t xml:space="preserve">CRDO -8.7% to $192.61 - the opposite signal. 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Institutional lots net -$10.2m; press attributes the drop partly to insider selling (MarketBeat, 28-Sep). Real distribution, not retail capitulation. Do not catch this knife.</w:t>
      </w:r>
    </w:p>
    <w:p>
      <w:pPr>
        <w:pStyle w:val="ListParagraph"/>
        <w:numPr>
          <w:ilvl w:val="0"/>
          <w:numId w:val="1"/>
        </w:numPr>
        <w:spacing w:after="70" w:before="0"/>
      </w:pPr>
      <w:r>
        <w:rPr>
          <w:rFonts w:ascii="Calibri" w:cs="Calibri" w:eastAsia="Calibri" w:hAnsi="Calibri"/>
          <w:b/>
          <w:bCs/>
          <w:color w:val="000000"/>
          <w:sz w:val="19"/>
          <w:szCs w:val="19"/>
        </w:rPr>
        <w:t xml:space="preserve">CBRS -4.9% to $196.62 on -$31.1m (-$13.9m institutional). 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CTO Sean Lie sold 120,000 shares at $208.97 ($25.08m) on 25-Sep under a Rule 10b5-1 plan (SEC Form 4, period 2026-09-25), corroborated by our Finviz feed. Layered on a rolling IPO-lockup release schedule, supply/demand is against the stock.</w:t>
      </w:r>
    </w:p>
    <w:p>
      <w:pPr>
        <w:pStyle w:val="ListParagraph"/>
        <w:numPr>
          <w:ilvl w:val="0"/>
          <w:numId w:val="1"/>
        </w:numPr>
        <w:spacing w:after="70" w:before="0"/>
      </w:pPr>
      <w:r>
        <w:rPr>
          <w:rFonts w:ascii="Calibri" w:cs="Calibri" w:eastAsia="Calibri" w:hAnsi="Calibri"/>
          <w:b/>
          <w:bCs/>
          <w:color w:val="000000"/>
          <w:sz w:val="19"/>
          <w:szCs w:val="19"/>
        </w:rPr>
        <w:t xml:space="preserve">Memory / storage: SNDK -3.7%, the single largest outflow in the book at -$217m. 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Sector event risk is Micron's FQ4 print on 30-Sep. Price conflict flagged overleaf.</w:t>
      </w:r>
    </w:p>
    <w:p>
      <w:pPr>
        <w:pStyle w:val="ListParagraph"/>
        <w:numPr>
          <w:ilvl w:val="0"/>
          <w:numId w:val="1"/>
        </w:numPr>
        <w:spacing w:after="70" w:before="0"/>
      </w:pPr>
      <w:r>
        <w:rPr>
          <w:rFonts w:ascii="Calibri" w:cs="Calibri" w:eastAsia="Calibri" w:hAnsi="Calibri"/>
          <w:b/>
          <w:bCs/>
          <w:color w:val="000000"/>
          <w:sz w:val="19"/>
          <w:szCs w:val="19"/>
        </w:rPr>
        <w:t xml:space="preserve">SPCX -2.2% on 76m shares: -$146m net, -$66m institutional - the largest institutional distribution in the universe. 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No stock-specific news found; reads as index / liquidity-driven risk reduction.</w:t>
      </w:r>
    </w:p>
    <w:p>
      <w:pPr>
        <w:pStyle w:val="ListParagraph"/>
        <w:numPr>
          <w:ilvl w:val="0"/>
          <w:numId w:val="1"/>
        </w:numPr>
        <w:spacing w:after="70" w:before="0"/>
      </w:pPr>
      <w:r>
        <w:rPr>
          <w:rFonts w:ascii="Calibri" w:cs="Calibri" w:eastAsia="Calibri" w:hAnsi="Calibri"/>
          <w:b/>
          <w:bCs/>
          <w:color w:val="000000"/>
          <w:sz w:val="19"/>
          <w:szCs w:val="19"/>
        </w:rPr>
        <w:t xml:space="preserve">Precious metals worst theme, -4.5% average (CDE -7.0%, HL -6.5%, PAAS -4.7%). 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Spot gold -3.19% to $4,148.69 and silver -4.31% to $61.53 (USAGOLD, 28-Sep) on higher-rate bets. Sector-wide, not idiosyncratic.</w:t>
      </w:r>
    </w:p>
    <w:p>
      <w:pPr>
        <w:pStyle w:val="ListParagraph"/>
        <w:numPr>
          <w:ilvl w:val="0"/>
          <w:numId w:val="1"/>
        </w:numPr>
        <w:spacing w:after="70" w:before="0"/>
      </w:pPr>
      <w:r>
        <w:rPr>
          <w:rFonts w:ascii="Calibri" w:cs="Calibri" w:eastAsia="Calibri" w:hAnsi="Calibri"/>
          <w:b/>
          <w:bCs/>
          <w:color w:val="000000"/>
          <w:sz w:val="19"/>
          <w:szCs w:val="19"/>
        </w:rPr>
        <w:t xml:space="preserve">Defense / space -1.6% but -$86m institutional. 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Geopolitics escalating and defense de-rating together tells you this is liquidity, not fundamentals. Counter-flow accumulation in MSI (+$4.6m), VSAT (+$3.3m), BWXT (+$2.4m).</w:t>
      </w:r>
    </w:p>
    <w:p>
      <w:pPr>
        <w:pStyle w:val="ListParagraph"/>
        <w:numPr>
          <w:ilvl w:val="0"/>
          <w:numId w:val="1"/>
        </w:numPr>
        <w:spacing w:after="70" w:before="0"/>
      </w:pPr>
      <w:r>
        <w:rPr>
          <w:rFonts w:ascii="Calibri" w:cs="Calibri" w:eastAsia="Calibri" w:hAnsi="Calibri"/>
          <w:b/>
          <w:bCs/>
          <w:color w:val="000000"/>
          <w:sz w:val="19"/>
          <w:szCs w:val="19"/>
        </w:rPr>
        <w:t xml:space="preserve">Estimate revisions (Estimize / Wall St, 26-Sep): 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the oil spike is already in the numbers - XOM FQ4'26 Estimize EPS +$0.47 to $3.10 (+17.9%); airlines cut hard - DAL FQ4'26 Estimize EPS -$1.00 to $1.22 (-45%). GILD FQ4'26 +13.3% is the largest non-energy upward revision.</w:t>
      </w:r>
    </w:p>
    <w:p>
      <w:pPr>
        <w:pStyle w:val="Heading2"/>
        <w:spacing w:before="200" w:after="9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Key Events Today (Tue 29-Sep) and Tomorrow</w:t>
      </w:r>
    </w:p>
    <w:tbl>
      <w:tblPr>
        <w:tblW w:type="dxa" w:w="10080"/>
        <w:tblBorders>
          <w:top w:val="single" w:color="1F3864" w:sz="4"/>
          <w:left w:val="single" w:color="BFBFBF" w:sz="2"/>
          <w:bottom w:val="single" w:color="1F3864" w:sz="4"/>
          <w:right w:val="single" w:color="BFBFBF" w:sz="2"/>
          <w:insideH w:val="single" w:color="BFBFBF" w:sz="2"/>
          <w:insideV w:val="single" w:color="BFBFBF" w:sz="2"/>
        </w:tblBorders>
      </w:tblPr>
      <w:tblGrid>
        <w:gridCol w:w="1200"/>
        <w:gridCol w:w="4600"/>
        <w:gridCol w:w="3080"/>
        <w:gridCol w:w="1200"/>
      </w:tblGrid>
      <w:tr>
        <w:trPr>
          <w:tblHeader/>
        </w:trPr>
        <w:tc>
          <w:tcPr>
            <w:tcW w:type="dxa" w:w="12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Time (ET)</w:t>
            </w:r>
          </w:p>
        </w:tc>
        <w:tc>
          <w:tcPr>
            <w:tcW w:type="dxa" w:w="4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Event</w:t>
            </w:r>
          </w:p>
        </w:tc>
        <w:tc>
          <w:tcPr>
            <w:tcW w:type="dxa" w:w="308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Consensus / Note</w:t>
            </w:r>
          </w:p>
        </w:tc>
        <w:tc>
          <w:tcPr>
            <w:tcW w:type="dxa" w:w="12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Impact</w:t>
            </w:r>
          </w:p>
        </w:tc>
      </w:tr>
      <w:tr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09:00</w:t>
            </w:r>
          </w:p>
        </w:tc>
        <w:tc>
          <w:tcPr>
            <w:tcW w:type="dxa" w:w="4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FHFA House Price Index (Jul, MoM)</w:t>
            </w:r>
          </w:p>
        </w:tc>
        <w:tc>
          <w:tcPr>
            <w:tcW w:type="dxa" w:w="30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Prior 0.0%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Low</w:t>
            </w:r>
          </w:p>
        </w:tc>
      </w:tr>
      <w:tr>
        <w:tc>
          <w:tcPr>
            <w:tcW w:type="dxa" w:w="12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10:00</w:t>
            </w:r>
          </w:p>
        </w:tc>
        <w:tc>
          <w:tcPr>
            <w:tcW w:type="dxa" w:w="46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Conference Board Consumer Confidence (Sep)</w:t>
            </w:r>
          </w:p>
        </w:tc>
        <w:tc>
          <w:tcPr>
            <w:tcW w:type="dxa" w:w="308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90.0 est vs 89.4 prior</w:t>
            </w:r>
          </w:p>
        </w:tc>
        <w:tc>
          <w:tcPr>
            <w:tcW w:type="dxa" w:w="12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HIGH</w:t>
            </w:r>
          </w:p>
        </w:tc>
      </w:tr>
      <w:tr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10:00</w:t>
            </w:r>
          </w:p>
        </w:tc>
        <w:tc>
          <w:tcPr>
            <w:tcW w:type="dxa" w:w="4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JOLTS Job Openings (Aug)</w:t>
            </w:r>
          </w:p>
        </w:tc>
        <w:tc>
          <w:tcPr>
            <w:tcW w:type="dxa" w:w="30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—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HIGH</w:t>
            </w:r>
          </w:p>
        </w:tc>
      </w:tr>
      <w:tr>
        <w:tc>
          <w:tcPr>
            <w:tcW w:type="dxa" w:w="12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10:30</w:t>
            </w:r>
          </w:p>
        </w:tc>
        <w:tc>
          <w:tcPr>
            <w:tcW w:type="dxa" w:w="46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Dallas Fed Texas Retail Outlook</w:t>
            </w:r>
          </w:p>
        </w:tc>
        <w:tc>
          <w:tcPr>
            <w:tcW w:type="dxa" w:w="308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—</w:t>
            </w:r>
          </w:p>
        </w:tc>
        <w:tc>
          <w:tcPr>
            <w:tcW w:type="dxa" w:w="12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Low</w:t>
            </w:r>
          </w:p>
        </w:tc>
      </w:tr>
      <w:tr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30-Sep</w:t>
            </w:r>
          </w:p>
        </w:tc>
        <w:tc>
          <w:tcPr>
            <w:tcW w:type="dxa" w:w="4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Micron (MU) FQ4 — read-through SNDK / AMKR / TER</w:t>
            </w:r>
          </w:p>
        </w:tc>
        <w:tc>
          <w:tcPr>
            <w:tcW w:type="dxa" w:w="30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Guide ~$50bn rev, ~$31 adj EPS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HIGH</w:t>
            </w:r>
          </w:p>
        </w:tc>
      </w:tr>
      <w:tr>
        <w:tc>
          <w:tcPr>
            <w:tcW w:type="dxa" w:w="12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30-Sep 08:30</w:t>
            </w:r>
          </w:p>
        </w:tc>
        <w:tc>
          <w:tcPr>
            <w:tcW w:type="dxa" w:w="46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GDP 3rd release + Personal Income &amp; PCE deflator</w:t>
            </w:r>
          </w:p>
        </w:tc>
        <w:tc>
          <w:tcPr>
            <w:tcW w:type="dxa" w:w="308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Week's principal risk event</w:t>
            </w:r>
          </w:p>
        </w:tc>
        <w:tc>
          <w:tcPr>
            <w:tcW w:type="dxa" w:w="12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HIGH</w:t>
            </w:r>
          </w:p>
        </w:tc>
      </w:tr>
    </w:tbl>
    <w:p>
      <w:pPr>
        <w:spacing w:after="100" w:before="80"/>
      </w:pPr>
      <w:r>
        <w:rPr>
          <w:rFonts w:ascii="Calibri" w:cs="Calibri" w:eastAsia="Calibri" w:hAnsi="Calibri"/>
          <w:i/>
          <w:iCs/>
          <w:color w:val="595959"/>
          <w:sz w:val="16"/>
          <w:szCs w:val="16"/>
        </w:rPr>
        <w:t xml:space="preserve">Sources: NY Fed indicator calendar; Investing.com, 28-Sep. </w:t>
      </w:r>
      <w:r>
        <w:rPr>
          <w:rFonts w:ascii="Calibri" w:cs="Calibri" w:eastAsia="Calibri" w:hAnsi="Calibri"/>
          <w:i/>
          <w:iCs/>
          <w:color w:val="595959"/>
          <w:sz w:val="16"/>
          <w:szCs w:val="16"/>
        </w:rPr>
        <w:t xml:space="preserve">Our view: with the Fed having hiked 25bp in a 12-0 vote and Chair Warsh committing to the inflation fight (Schwab, mid-Sep), a firm Confidence/JOLTS pair pushes the 10-year through 5.30% and extends the duration unwind. A soft print is the bull case for the entire book. Size into 10:00 - do not chase before it.</w:t>
      </w:r>
    </w:p>
    <w:p>
      <w:pPr>
        <w:pStyle w:val="Heading2"/>
        <w:spacing w:before="200" w:after="9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Trade Ideas</w:t>
      </w:r>
    </w:p>
    <w:p>
      <w:pPr>
        <w:pStyle w:val="ListParagraph"/>
        <w:numPr>
          <w:ilvl w:val="0"/>
          <w:numId w:val="1"/>
        </w:numPr>
        <w:spacing w:after="70" w:before="0"/>
      </w:pPr>
      <w:r>
        <w:rPr>
          <w:rFonts w:ascii="Calibri" w:cs="Calibri" w:eastAsia="Calibri" w:hAnsi="Calibri"/>
          <w:b/>
          <w:bCs/>
          <w:color w:val="1E6B33"/>
          <w:sz w:val="19"/>
          <w:szCs w:val="19"/>
        </w:rPr>
        <w:t xml:space="preserve">Long BE (tactical, half size). 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Institutional lots accumulated into a -8.9% retail-driven flush; RBC's $335 PT is ~27% above spot. Catalyst: Jupiter pipeline resolution or a new non-Oracle capacity award. Risk: force majeure converts to cancellation - the fuel cells cannot run without the 17-mile "Green Chile" pipeline; S&amp;P-inclusion flow (added 21-Sep) is now fully digested.</w:t>
      </w:r>
    </w:p>
    <w:p>
      <w:pPr>
        <w:pStyle w:val="ListParagraph"/>
        <w:numPr>
          <w:ilvl w:val="0"/>
          <w:numId w:val="1"/>
        </w:numPr>
        <w:spacing w:after="70" w:before="0"/>
      </w:pPr>
      <w:r>
        <w:rPr>
          <w:rFonts w:ascii="Calibri" w:cs="Calibri" w:eastAsia="Calibri" w:hAnsi="Calibri"/>
          <w:b/>
          <w:bCs/>
          <w:color w:val="B00020"/>
          <w:sz w:val="19"/>
          <w:szCs w:val="19"/>
        </w:rPr>
        <w:t xml:space="preserve">Avoid / short CBRS. 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Insider supply, staged lockup releases, institutional distribution and a backlog heavily concentrated in one customer. Risk: a major new hyperscaler contract re-rates it violently - keep it small.</w:t>
      </w:r>
    </w:p>
    <w:p>
      <w:pPr>
        <w:pStyle w:val="ListParagraph"/>
        <w:numPr>
          <w:ilvl w:val="0"/>
          <w:numId w:val="1"/>
        </w:numPr>
        <w:spacing w:after="70" w:before="0"/>
      </w:pPr>
      <w:r>
        <w:rPr>
          <w:rFonts w:ascii="Calibri" w:cs="Calibri" w:eastAsia="Calibri" w:hAnsi="Calibri"/>
          <w:b/>
          <w:bCs/>
          <w:color w:val="1E6B33"/>
          <w:sz w:val="19"/>
          <w:szCs w:val="19"/>
        </w:rPr>
        <w:t xml:space="preserve">Pair: long XOM revisions vs. short DAL / UAL. 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The Hormuz premium mechanically upgrades integrated-energy EPS and downgrades airline EPS, and consensus is only just moving. Risk: a credible US-Iran de-escalation headline unwinds both legs in one session.</w:t>
      </w:r>
    </w:p>
    <w:p>
      <w:pPr>
        <w:pStyle w:val="ListParagraph"/>
        <w:numPr>
          <w:ilvl w:val="0"/>
          <w:numId w:val="1"/>
        </w:numPr>
        <w:spacing w:after="70" w:before="0"/>
      </w:pPr>
      <w:r>
        <w:rPr>
          <w:rFonts w:ascii="Calibri" w:cs="Calibri" w:eastAsia="Calibri" w:hAnsi="Calibri"/>
          <w:b/>
          <w:bCs/>
          <w:color w:val="1E6B33"/>
          <w:sz w:val="19"/>
          <w:szCs w:val="19"/>
        </w:rPr>
        <w:t xml:space="preserve">Accumulate quality power / electrical on weakness - ETN, ANET, GEV. 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ETN took +$21.8m of net inflow despite closing -2.0%, ANET +$12.5m, GEV +$6.6m at the institutional-lot level. These were bought, not sold, on a red day. Risk: a 10-year above 5.5% breaks the multiple regardless of order books.</w:t>
      </w:r>
    </w:p>
    <w:p>
      <w:r>
        <w:br w:type="page"/>
      </w:r>
    </w:p>
    <w:p>
      <w:pPr>
        <w:pStyle w:val="Heading1"/>
        <w:spacing w:before="200" w:after="90"/>
      </w:pPr>
      <w:r>
        <w:rPr>
          <w:rFonts w:ascii="Calibri" w:cs="Calibri" w:eastAsia="Calibri" w:hAnsi="Calibri"/>
          <w:b/>
          <w:bCs/>
          <w:color w:val="1F3864"/>
          <w:sz w:val="30"/>
          <w:szCs w:val="30"/>
        </w:rPr>
        <w:t xml:space="preserve">Appendix A - Coverage Flow Dashboard (28-Sep-26 close)</w:t>
      </w:r>
    </w:p>
    <w:p>
      <w:pPr>
        <w:spacing w:after="100" w:before="0"/>
      </w:pPr>
      <w:r>
        <w:rPr>
          <w:rFonts w:ascii="Calibri" w:cs="Calibri" w:eastAsia="Calibri" w:hAnsi="Calibri"/>
          <w:i/>
          <w:iCs/>
          <w:color w:val="595959"/>
          <w:sz w:val="16"/>
          <w:szCs w:val="16"/>
        </w:rPr>
        <w:t xml:space="preserve">Source: SynRae / Futu capital distribution, 28-Sep-26 16:00 ET. "Inst $m" = super-lot + big-lot net capital. Vol in millions of shares.</w:t>
      </w:r>
    </w:p>
    <w:tbl>
      <w:tblPr>
        <w:tblW w:type="dxa" w:w="10080"/>
        <w:tblBorders>
          <w:top w:val="single" w:color="1F3864" w:sz="4"/>
          <w:left w:val="single" w:color="BFBFBF" w:sz="2"/>
          <w:bottom w:val="single" w:color="1F3864" w:sz="4"/>
          <w:right w:val="single" w:color="BFBFBF" w:sz="2"/>
          <w:insideH w:val="single" w:color="BFBFBF" w:sz="2"/>
          <w:insideV w:val="single" w:color="BFBFBF" w:sz="2"/>
        </w:tblBorders>
      </w:tblPr>
      <w:tblGrid>
        <w:gridCol w:w="900"/>
        <w:gridCol w:w="1050"/>
        <w:gridCol w:w="900"/>
        <w:gridCol w:w="900"/>
        <w:gridCol w:w="1000"/>
        <w:gridCol w:w="1000"/>
        <w:gridCol w:w="4330"/>
      </w:tblGrid>
      <w:tr>
        <w:trPr>
          <w:tblHeader/>
        </w:trPr>
        <w:tc>
          <w:tcPr>
            <w:tcW w:type="dxa" w:w="9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Ticker</w:t>
            </w:r>
          </w:p>
        </w:tc>
        <w:tc>
          <w:tcPr>
            <w:tcW w:type="dxa" w:w="105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Close $</w:t>
            </w:r>
          </w:p>
        </w:tc>
        <w:tc>
          <w:tcPr>
            <w:tcW w:type="dxa" w:w="9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Chg %</w:t>
            </w:r>
          </w:p>
        </w:tc>
        <w:tc>
          <w:tcPr>
            <w:tcW w:type="dxa" w:w="9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Vol (m)</w:t>
            </w:r>
          </w:p>
        </w:tc>
        <w:tc>
          <w:tcPr>
            <w:tcW w:type="dxa" w:w="10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Net $m</w:t>
            </w:r>
          </w:p>
        </w:tc>
        <w:tc>
          <w:tcPr>
            <w:tcW w:type="dxa" w:w="10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Inst $m</w:t>
            </w:r>
          </w:p>
        </w:tc>
        <w:tc>
          <w:tcPr>
            <w:tcW w:type="dxa" w:w="433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Comment</w:t>
            </w:r>
          </w:p>
        </w:tc>
      </w:tr>
      <w:t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BE</w:t>
            </w:r>
          </w:p>
        </w:tc>
        <w:tc>
          <w:tcPr>
            <w:tcW w:type="dxa" w:w="10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262.87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-8.95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14.7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-45.6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E6B33"/>
                <w:sz w:val="18"/>
                <w:szCs w:val="18"/>
              </w:rPr>
              <w:t xml:space="preserve">+1.9</w:t>
            </w:r>
          </w:p>
        </w:tc>
        <w:tc>
          <w:tcPr>
            <w:tcW w:type="dxa" w:w="43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Retail flush, institutions bought</w:t>
            </w:r>
          </w:p>
        </w:tc>
      </w:tr>
      <w:tr>
        <w:tc>
          <w:tcPr>
            <w:tcW w:type="dxa" w:w="9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CRDO</w:t>
            </w:r>
          </w:p>
        </w:tc>
        <w:tc>
          <w:tcPr>
            <w:tcW w:type="dxa" w:w="105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192.61</w:t>
            </w:r>
          </w:p>
        </w:tc>
        <w:tc>
          <w:tcPr>
            <w:tcW w:type="dxa" w:w="9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-8.70</w:t>
            </w:r>
          </w:p>
        </w:tc>
        <w:tc>
          <w:tcPr>
            <w:tcW w:type="dxa" w:w="9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8.3</w:t>
            </w:r>
          </w:p>
        </w:tc>
        <w:tc>
          <w:tcPr>
            <w:tcW w:type="dxa" w:w="10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-3.5</w:t>
            </w:r>
          </w:p>
        </w:tc>
        <w:tc>
          <w:tcPr>
            <w:tcW w:type="dxa" w:w="10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-10.2</w:t>
            </w:r>
          </w:p>
        </w:tc>
        <w:tc>
          <w:tcPr>
            <w:tcW w:type="dxa" w:w="433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Genuine institutional distribution</w:t>
            </w:r>
          </w:p>
        </w:tc>
      </w:tr>
      <w:t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CDE</w:t>
            </w:r>
          </w:p>
        </w:tc>
        <w:tc>
          <w:tcPr>
            <w:tcW w:type="dxa" w:w="10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17.88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-7.00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35.3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-26.2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-20.0</w:t>
            </w:r>
          </w:p>
        </w:tc>
        <w:tc>
          <w:tcPr>
            <w:tcW w:type="dxa" w:w="43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Silver -4.3% spot</w:t>
            </w:r>
          </w:p>
        </w:tc>
      </w:tr>
      <w:tr>
        <w:tc>
          <w:tcPr>
            <w:tcW w:type="dxa" w:w="9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APLD</w:t>
            </w:r>
          </w:p>
        </w:tc>
        <w:tc>
          <w:tcPr>
            <w:tcW w:type="dxa" w:w="105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24.53</w:t>
            </w:r>
          </w:p>
        </w:tc>
        <w:tc>
          <w:tcPr>
            <w:tcW w:type="dxa" w:w="9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-6.55</w:t>
            </w:r>
          </w:p>
        </w:tc>
        <w:tc>
          <w:tcPr>
            <w:tcW w:type="dxa" w:w="9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13.8</w:t>
            </w:r>
          </w:p>
        </w:tc>
        <w:tc>
          <w:tcPr>
            <w:tcW w:type="dxa" w:w="10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E6B33"/>
                <w:sz w:val="18"/>
                <w:szCs w:val="18"/>
              </w:rPr>
              <w:t xml:space="preserve">+0.6</w:t>
            </w:r>
          </w:p>
        </w:tc>
        <w:tc>
          <w:tcPr>
            <w:tcW w:type="dxa" w:w="10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-1.2</w:t>
            </w:r>
          </w:p>
        </w:tc>
        <w:tc>
          <w:tcPr>
            <w:tcW w:type="dxa" w:w="433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Neocloud duration unwind</w:t>
            </w:r>
          </w:p>
        </w:tc>
      </w:tr>
      <w:t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HL</w:t>
            </w:r>
          </w:p>
        </w:tc>
        <w:tc>
          <w:tcPr>
            <w:tcW w:type="dxa" w:w="10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17.01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-6.51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37.7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-6.5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-2.8</w:t>
            </w:r>
          </w:p>
        </w:tc>
        <w:tc>
          <w:tcPr>
            <w:tcW w:type="dxa" w:w="43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Precious metals beta</w:t>
            </w:r>
          </w:p>
        </w:tc>
      </w:tr>
      <w:tr>
        <w:tc>
          <w:tcPr>
            <w:tcW w:type="dxa" w:w="9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MP</w:t>
            </w:r>
          </w:p>
        </w:tc>
        <w:tc>
          <w:tcPr>
            <w:tcW w:type="dxa" w:w="105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46.42</w:t>
            </w:r>
          </w:p>
        </w:tc>
        <w:tc>
          <w:tcPr>
            <w:tcW w:type="dxa" w:w="9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-4.94</w:t>
            </w:r>
          </w:p>
        </w:tc>
        <w:tc>
          <w:tcPr>
            <w:tcW w:type="dxa" w:w="9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4.8</w:t>
            </w:r>
          </w:p>
        </w:tc>
        <w:tc>
          <w:tcPr>
            <w:tcW w:type="dxa" w:w="10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-3.7</w:t>
            </w:r>
          </w:p>
        </w:tc>
        <w:tc>
          <w:tcPr>
            <w:tcW w:type="dxa" w:w="10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-2.0</w:t>
            </w:r>
          </w:p>
        </w:tc>
        <w:tc>
          <w:tcPr>
            <w:tcW w:type="dxa" w:w="433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-21% in a month (Yahoo, 28-Sep)</w:t>
            </w:r>
          </w:p>
        </w:tc>
      </w:tr>
      <w:t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CBRS</w:t>
            </w:r>
          </w:p>
        </w:tc>
        <w:tc>
          <w:tcPr>
            <w:tcW w:type="dxa" w:w="10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196.62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-4.90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4.1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-31.1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-13.9</w:t>
            </w:r>
          </w:p>
        </w:tc>
        <w:tc>
          <w:tcPr>
            <w:tcW w:type="dxa" w:w="43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CTO sold $25.1m 25-Sep (Form 4)</w:t>
            </w:r>
          </w:p>
        </w:tc>
      </w:tr>
      <w:tr>
        <w:tc>
          <w:tcPr>
            <w:tcW w:type="dxa" w:w="9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AAOI</w:t>
            </w:r>
          </w:p>
        </w:tc>
        <w:tc>
          <w:tcPr>
            <w:tcW w:type="dxa" w:w="105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96.81</w:t>
            </w:r>
          </w:p>
        </w:tc>
        <w:tc>
          <w:tcPr>
            <w:tcW w:type="dxa" w:w="9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-4.53</w:t>
            </w:r>
          </w:p>
        </w:tc>
        <w:tc>
          <w:tcPr>
            <w:tcW w:type="dxa" w:w="9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7.3</w:t>
            </w:r>
          </w:p>
        </w:tc>
        <w:tc>
          <w:tcPr>
            <w:tcW w:type="dxa" w:w="10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-25.1</w:t>
            </w:r>
          </w:p>
        </w:tc>
        <w:tc>
          <w:tcPr>
            <w:tcW w:type="dxa" w:w="10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-12.6</w:t>
            </w:r>
          </w:p>
        </w:tc>
        <w:tc>
          <w:tcPr>
            <w:tcW w:type="dxa" w:w="433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Optics de-rating</w:t>
            </w:r>
          </w:p>
        </w:tc>
      </w:tr>
      <w:t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SOFI</w:t>
            </w:r>
          </w:p>
        </w:tc>
        <w:tc>
          <w:tcPr>
            <w:tcW w:type="dxa" w:w="10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15.93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-3.92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55.4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-10.2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E6B33"/>
                <w:sz w:val="18"/>
                <w:szCs w:val="18"/>
              </w:rPr>
              <w:t xml:space="preserve">+7.5</w:t>
            </w:r>
          </w:p>
        </w:tc>
        <w:tc>
          <w:tcPr>
            <w:tcW w:type="dxa" w:w="43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Counter-flow accumulation</w:t>
            </w:r>
          </w:p>
        </w:tc>
      </w:tr>
      <w:tr>
        <w:tc>
          <w:tcPr>
            <w:tcW w:type="dxa" w:w="9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SNDK</w:t>
            </w:r>
          </w:p>
        </w:tc>
        <w:tc>
          <w:tcPr>
            <w:tcW w:type="dxa" w:w="105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1712.00</w:t>
            </w:r>
          </w:p>
        </w:tc>
        <w:tc>
          <w:tcPr>
            <w:tcW w:type="dxa" w:w="9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-3.70</w:t>
            </w:r>
          </w:p>
        </w:tc>
        <w:tc>
          <w:tcPr>
            <w:tcW w:type="dxa" w:w="9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6.3</w:t>
            </w:r>
          </w:p>
        </w:tc>
        <w:tc>
          <w:tcPr>
            <w:tcW w:type="dxa" w:w="10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-217.0</w:t>
            </w:r>
          </w:p>
        </w:tc>
        <w:tc>
          <w:tcPr>
            <w:tcW w:type="dxa" w:w="10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-15.5</w:t>
            </w:r>
          </w:p>
        </w:tc>
        <w:tc>
          <w:tcPr>
            <w:tcW w:type="dxa" w:w="433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Largest outflow; MU prints 30-Sep</w:t>
            </w:r>
          </w:p>
        </w:tc>
      </w:tr>
      <w:t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VRT</w:t>
            </w:r>
          </w:p>
        </w:tc>
        <w:tc>
          <w:tcPr>
            <w:tcW w:type="dxa" w:w="10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244.06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-3.64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3.3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-9.5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-12.9</w:t>
            </w:r>
          </w:p>
        </w:tc>
        <w:tc>
          <w:tcPr>
            <w:tcW w:type="dxa" w:w="43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AI power beta</w:t>
            </w:r>
          </w:p>
        </w:tc>
      </w:tr>
      <w:tr>
        <w:tc>
          <w:tcPr>
            <w:tcW w:type="dxa" w:w="9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SPCX</w:t>
            </w:r>
          </w:p>
        </w:tc>
        <w:tc>
          <w:tcPr>
            <w:tcW w:type="dxa" w:w="105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145.47</w:t>
            </w:r>
          </w:p>
        </w:tc>
        <w:tc>
          <w:tcPr>
            <w:tcW w:type="dxa" w:w="9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-2.16</w:t>
            </w:r>
          </w:p>
        </w:tc>
        <w:tc>
          <w:tcPr>
            <w:tcW w:type="dxa" w:w="9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76.0</w:t>
            </w:r>
          </w:p>
        </w:tc>
        <w:tc>
          <w:tcPr>
            <w:tcW w:type="dxa" w:w="10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-146.2</w:t>
            </w:r>
          </w:p>
        </w:tc>
        <w:tc>
          <w:tcPr>
            <w:tcW w:type="dxa" w:w="10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-66.0</w:t>
            </w:r>
          </w:p>
        </w:tc>
        <w:tc>
          <w:tcPr>
            <w:tcW w:type="dxa" w:w="433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Largest institutional exit</w:t>
            </w:r>
          </w:p>
        </w:tc>
      </w:tr>
      <w:t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LITE</w:t>
            </w:r>
          </w:p>
        </w:tc>
        <w:tc>
          <w:tcPr>
            <w:tcW w:type="dxa" w:w="10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921.32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-2.16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4.2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-35.9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-24.0</w:t>
            </w:r>
          </w:p>
        </w:tc>
        <w:tc>
          <w:tcPr>
            <w:tcW w:type="dxa" w:w="43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Insider sales 24/25-Sep</w:t>
            </w:r>
          </w:p>
        </w:tc>
      </w:tr>
      <w:tr>
        <w:tc>
          <w:tcPr>
            <w:tcW w:type="dxa" w:w="9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IONQ</w:t>
            </w:r>
          </w:p>
        </w:tc>
        <w:tc>
          <w:tcPr>
            <w:tcW w:type="dxa" w:w="105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44.55</w:t>
            </w:r>
          </w:p>
        </w:tc>
        <w:tc>
          <w:tcPr>
            <w:tcW w:type="dxa" w:w="9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-2.04</w:t>
            </w:r>
          </w:p>
        </w:tc>
        <w:tc>
          <w:tcPr>
            <w:tcW w:type="dxa" w:w="9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32.8</w:t>
            </w:r>
          </w:p>
        </w:tc>
        <w:tc>
          <w:tcPr>
            <w:tcW w:type="dxa" w:w="10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-33.3</w:t>
            </w:r>
          </w:p>
        </w:tc>
        <w:tc>
          <w:tcPr>
            <w:tcW w:type="dxa" w:w="10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-30.6</w:t>
            </w:r>
          </w:p>
        </w:tc>
        <w:tc>
          <w:tcPr>
            <w:tcW w:type="dxa" w:w="433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Speculative tail, clean exit</w:t>
            </w:r>
          </w:p>
        </w:tc>
      </w:tr>
      <w:t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ETN</w:t>
            </w:r>
          </w:p>
        </w:tc>
        <w:tc>
          <w:tcPr>
            <w:tcW w:type="dxa" w:w="10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431.25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-1.98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1.8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E6B33"/>
                <w:sz w:val="18"/>
                <w:szCs w:val="18"/>
              </w:rPr>
              <w:t xml:space="preserve">+21.8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-4.5</w:t>
            </w:r>
          </w:p>
        </w:tc>
        <w:tc>
          <w:tcPr>
            <w:tcW w:type="dxa" w:w="43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Bought on a red day</w:t>
            </w:r>
          </w:p>
        </w:tc>
      </w:tr>
      <w:tr>
        <w:tc>
          <w:tcPr>
            <w:tcW w:type="dxa" w:w="9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ANET</w:t>
            </w:r>
          </w:p>
        </w:tc>
        <w:tc>
          <w:tcPr>
            <w:tcW w:type="dxa" w:w="105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204.91</w:t>
            </w:r>
          </w:p>
        </w:tc>
        <w:tc>
          <w:tcPr>
            <w:tcW w:type="dxa" w:w="9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-0.80</w:t>
            </w:r>
          </w:p>
        </w:tc>
        <w:tc>
          <w:tcPr>
            <w:tcW w:type="dxa" w:w="9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2.8</w:t>
            </w:r>
          </w:p>
        </w:tc>
        <w:tc>
          <w:tcPr>
            <w:tcW w:type="dxa" w:w="10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E6B33"/>
                <w:sz w:val="18"/>
                <w:szCs w:val="18"/>
              </w:rPr>
              <w:t xml:space="preserve">+12.5</w:t>
            </w:r>
          </w:p>
        </w:tc>
        <w:tc>
          <w:tcPr>
            <w:tcW w:type="dxa" w:w="10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E6B33"/>
                <w:sz w:val="18"/>
                <w:szCs w:val="18"/>
              </w:rPr>
              <w:t xml:space="preserve">+0.5</w:t>
            </w:r>
          </w:p>
        </w:tc>
        <w:tc>
          <w:tcPr>
            <w:tcW w:type="dxa" w:w="433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Bought on a red day</w:t>
            </w:r>
          </w:p>
        </w:tc>
      </w:tr>
      <w:t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GEV</w:t>
            </w:r>
          </w:p>
        </w:tc>
        <w:tc>
          <w:tcPr>
            <w:tcW w:type="dxa" w:w="105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949.70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-0.83</w:t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1.5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-6.9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E6B33"/>
                <w:sz w:val="18"/>
                <w:szCs w:val="18"/>
              </w:rPr>
              <w:t xml:space="preserve">+6.6</w:t>
            </w:r>
          </w:p>
        </w:tc>
        <w:tc>
          <w:tcPr>
            <w:tcW w:type="dxa" w:w="433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Institutions accumulating</w:t>
            </w:r>
          </w:p>
        </w:tc>
      </w:tr>
      <w:tr>
        <w:tc>
          <w:tcPr>
            <w:tcW w:type="dxa" w:w="9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PGR</w:t>
            </w:r>
          </w:p>
        </w:tc>
        <w:tc>
          <w:tcPr>
            <w:tcW w:type="dxa" w:w="105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209.49</w:t>
            </w:r>
          </w:p>
        </w:tc>
        <w:tc>
          <w:tcPr>
            <w:tcW w:type="dxa" w:w="9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E6B33"/>
                <w:sz w:val="18"/>
                <w:szCs w:val="18"/>
              </w:rPr>
              <w:t xml:space="preserve">+1.94</w:t>
            </w:r>
          </w:p>
        </w:tc>
        <w:tc>
          <w:tcPr>
            <w:tcW w:type="dxa" w:w="9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2.6</w:t>
            </w:r>
          </w:p>
        </w:tc>
        <w:tc>
          <w:tcPr>
            <w:tcW w:type="dxa" w:w="10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-22.8</w:t>
            </w:r>
          </w:p>
        </w:tc>
        <w:tc>
          <w:tcPr>
            <w:tcW w:type="dxa" w:w="10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-12.2</w:t>
            </w:r>
          </w:p>
        </w:tc>
        <w:tc>
          <w:tcPr>
            <w:tcW w:type="dxa" w:w="433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Price up, institutions selling</w:t>
            </w:r>
          </w:p>
        </w:tc>
      </w:tr>
    </w:tbl>
    <w:p>
      <w:pPr>
        <w:pStyle w:val="Heading2"/>
        <w:spacing w:before="200" w:after="9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Appendix B - Theme Aggregates</w:t>
      </w:r>
    </w:p>
    <w:tbl>
      <w:tblPr>
        <w:tblW w:type="dxa" w:w="10080"/>
        <w:tblBorders>
          <w:top w:val="single" w:color="1F3864" w:sz="4"/>
          <w:left w:val="single" w:color="BFBFBF" w:sz="2"/>
          <w:bottom w:val="single" w:color="1F3864" w:sz="4"/>
          <w:right w:val="single" w:color="BFBFBF" w:sz="2"/>
          <w:insideH w:val="single" w:color="BFBFBF" w:sz="2"/>
          <w:insideV w:val="single" w:color="BFBFBF" w:sz="2"/>
        </w:tblBorders>
      </w:tblPr>
      <w:tblGrid>
        <w:gridCol w:w="4080"/>
        <w:gridCol w:w="1200"/>
        <w:gridCol w:w="1600"/>
        <w:gridCol w:w="1600"/>
        <w:gridCol w:w="1600"/>
      </w:tblGrid>
      <w:tr>
        <w:trPr>
          <w:tblHeader/>
        </w:trPr>
        <w:tc>
          <w:tcPr>
            <w:tcW w:type="dxa" w:w="408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Theme</w:t>
            </w:r>
          </w:p>
        </w:tc>
        <w:tc>
          <w:tcPr>
            <w:tcW w:type="dxa" w:w="12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Names</w:t>
            </w:r>
          </w:p>
        </w:tc>
        <w:tc>
          <w:tcPr>
            <w:tcW w:type="dxa" w:w="1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Avg Chg %</w:t>
            </w:r>
          </w:p>
        </w:tc>
        <w:tc>
          <w:tcPr>
            <w:tcW w:type="dxa" w:w="1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Net Flow $m</w:t>
            </w:r>
          </w:p>
        </w:tc>
        <w:tc>
          <w:tcPr>
            <w:tcW w:type="dxa" w:w="1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Super+Big $m</w:t>
            </w:r>
          </w:p>
        </w:tc>
      </w:tr>
      <w:tr>
        <w:tc>
          <w:tcPr>
            <w:tcW w:type="dxa" w:w="40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Precious Metals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6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-4.49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-23.9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-21.6</w:t>
            </w:r>
          </w:p>
        </w:tc>
      </w:tr>
      <w:tr>
        <w:tc>
          <w:tcPr>
            <w:tcW w:type="dxa" w:w="408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Quantum</w:t>
            </w:r>
          </w:p>
        </w:tc>
        <w:tc>
          <w:tcPr>
            <w:tcW w:type="dxa" w:w="12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2</w:t>
            </w:r>
          </w:p>
        </w:tc>
        <w:tc>
          <w:tcPr>
            <w:tcW w:type="dxa" w:w="16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-3.15</w:t>
            </w:r>
          </w:p>
        </w:tc>
        <w:tc>
          <w:tcPr>
            <w:tcW w:type="dxa" w:w="16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-36.0</w:t>
            </w:r>
          </w:p>
        </w:tc>
        <w:tc>
          <w:tcPr>
            <w:tcW w:type="dxa" w:w="16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-34.6</w:t>
            </w:r>
          </w:p>
        </w:tc>
      </w:tr>
      <w:tr>
        <w:tc>
          <w:tcPr>
            <w:tcW w:type="dxa" w:w="40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AI Networking / Optics / Semis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14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-2.74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-265.7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-75.2</w:t>
            </w:r>
          </w:p>
        </w:tc>
      </w:tr>
      <w:tr>
        <w:tc>
          <w:tcPr>
            <w:tcW w:type="dxa" w:w="408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Neocloud / Datacenter</w:t>
            </w:r>
          </w:p>
        </w:tc>
        <w:tc>
          <w:tcPr>
            <w:tcW w:type="dxa" w:w="12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5</w:t>
            </w:r>
          </w:p>
        </w:tc>
        <w:tc>
          <w:tcPr>
            <w:tcW w:type="dxa" w:w="16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-2.46</w:t>
            </w:r>
          </w:p>
        </w:tc>
        <w:tc>
          <w:tcPr>
            <w:tcW w:type="dxa" w:w="16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-46.6</w:t>
            </w:r>
          </w:p>
        </w:tc>
        <w:tc>
          <w:tcPr>
            <w:tcW w:type="dxa" w:w="16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-15.8</w:t>
            </w:r>
          </w:p>
        </w:tc>
      </w:tr>
      <w:tr>
        <w:tc>
          <w:tcPr>
            <w:tcW w:type="dxa" w:w="40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Nuclear / Uranium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5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-2.15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-5.6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-2.5</w:t>
            </w:r>
          </w:p>
        </w:tc>
      </w:tr>
      <w:tr>
        <w:tc>
          <w:tcPr>
            <w:tcW w:type="dxa" w:w="408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AI Power / Electrical</w:t>
            </w:r>
          </w:p>
        </w:tc>
        <w:tc>
          <w:tcPr>
            <w:tcW w:type="dxa" w:w="12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13</w:t>
            </w:r>
          </w:p>
        </w:tc>
        <w:tc>
          <w:tcPr>
            <w:tcW w:type="dxa" w:w="16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-2.09</w:t>
            </w:r>
          </w:p>
        </w:tc>
        <w:tc>
          <w:tcPr>
            <w:tcW w:type="dxa" w:w="16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-79.9</w:t>
            </w:r>
          </w:p>
        </w:tc>
        <w:tc>
          <w:tcPr>
            <w:tcW w:type="dxa" w:w="16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-23.8</w:t>
            </w:r>
          </w:p>
        </w:tc>
      </w:tr>
      <w:tr>
        <w:tc>
          <w:tcPr>
            <w:tcW w:type="dxa" w:w="40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Critical Materials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5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-2.09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-12.9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-6.8</w:t>
            </w:r>
          </w:p>
        </w:tc>
      </w:tr>
      <w:tr>
        <w:tc>
          <w:tcPr>
            <w:tcW w:type="dxa" w:w="408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Defense / Drones / Space</w:t>
            </w:r>
          </w:p>
        </w:tc>
        <w:tc>
          <w:tcPr>
            <w:tcW w:type="dxa" w:w="12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12</w:t>
            </w:r>
          </w:p>
        </w:tc>
        <w:tc>
          <w:tcPr>
            <w:tcW w:type="dxa" w:w="16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-1.64</w:t>
            </w:r>
          </w:p>
        </w:tc>
        <w:tc>
          <w:tcPr>
            <w:tcW w:type="dxa" w:w="16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-195.8</w:t>
            </w:r>
          </w:p>
        </w:tc>
        <w:tc>
          <w:tcPr>
            <w:tcW w:type="dxa" w:w="16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-85.8</w:t>
            </w:r>
          </w:p>
        </w:tc>
      </w:tr>
      <w:tr>
        <w:tc>
          <w:tcPr>
            <w:tcW w:type="dxa" w:w="40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TOTAL 100-NAME BOOK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100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-1.81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-728.3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-378.5</w:t>
            </w:r>
          </w:p>
        </w:tc>
      </w:tr>
    </w:tbl>
    <w:p>
      <w:pPr>
        <w:pStyle w:val="Heading2"/>
        <w:spacing w:before="200" w:after="9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Appendix C - Largest Estimate Revisions (25-Sep to 26-Sep)</w:t>
      </w:r>
    </w:p>
    <w:tbl>
      <w:tblPr>
        <w:tblW w:type="dxa" w:w="10080"/>
        <w:tblBorders>
          <w:top w:val="single" w:color="1F3864" w:sz="4"/>
          <w:left w:val="single" w:color="BFBFBF" w:sz="2"/>
          <w:bottom w:val="single" w:color="1F3864" w:sz="4"/>
          <w:right w:val="single" w:color="BFBFBF" w:sz="2"/>
          <w:insideH w:val="single" w:color="BFBFBF" w:sz="2"/>
          <w:insideV w:val="single" w:color="BFBFBF" w:sz="2"/>
        </w:tblBorders>
      </w:tblPr>
      <w:tblGrid>
        <w:gridCol w:w="1300"/>
        <w:gridCol w:w="1600"/>
        <w:gridCol w:w="3180"/>
        <w:gridCol w:w="1300"/>
        <w:gridCol w:w="1300"/>
        <w:gridCol w:w="1400"/>
      </w:tblGrid>
      <w:tr>
        <w:trPr>
          <w:tblHeader/>
        </w:trPr>
        <w:tc>
          <w:tcPr>
            <w:tcW w:type="dxa" w:w="13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Ticker</w:t>
            </w:r>
          </w:p>
        </w:tc>
        <w:tc>
          <w:tcPr>
            <w:tcW w:type="dxa" w:w="1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Period</w:t>
            </w:r>
          </w:p>
        </w:tc>
        <w:tc>
          <w:tcPr>
            <w:tcW w:type="dxa" w:w="318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Metric / Source</w:t>
            </w:r>
          </w:p>
        </w:tc>
        <w:tc>
          <w:tcPr>
            <w:tcW w:type="dxa" w:w="13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Old</w:t>
            </w:r>
          </w:p>
        </w:tc>
        <w:tc>
          <w:tcPr>
            <w:tcW w:type="dxa" w:w="13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New</w:t>
            </w:r>
          </w:p>
        </w:tc>
        <w:tc>
          <w:tcPr>
            <w:tcW w:type="dxa" w:w="14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Change</w:t>
            </w:r>
          </w:p>
        </w:tc>
      </w:tr>
      <w:tr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XOM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FQ4 '26</w:t>
            </w:r>
          </w:p>
        </w:tc>
        <w:tc>
          <w:tcPr>
            <w:tcW w:type="dxa" w:w="31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Estimize EPS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2.63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3.10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E6B33"/>
                <w:sz w:val="18"/>
                <w:szCs w:val="18"/>
              </w:rPr>
              <w:t xml:space="preserve">+17.9%</w:t>
            </w:r>
          </w:p>
        </w:tc>
      </w:tr>
      <w:tr>
        <w:tc>
          <w:tcPr>
            <w:tcW w:type="dxa" w:w="13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GILD</w:t>
            </w:r>
          </w:p>
        </w:tc>
        <w:tc>
          <w:tcPr>
            <w:tcW w:type="dxa" w:w="16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FQ4 '26</w:t>
            </w:r>
          </w:p>
        </w:tc>
        <w:tc>
          <w:tcPr>
            <w:tcW w:type="dxa" w:w="318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Estimize EPS</w:t>
            </w:r>
          </w:p>
        </w:tc>
        <w:tc>
          <w:tcPr>
            <w:tcW w:type="dxa" w:w="13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1.73</w:t>
            </w:r>
          </w:p>
        </w:tc>
        <w:tc>
          <w:tcPr>
            <w:tcW w:type="dxa" w:w="13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1.96</w:t>
            </w:r>
          </w:p>
        </w:tc>
        <w:tc>
          <w:tcPr>
            <w:tcW w:type="dxa" w:w="14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E6B33"/>
                <w:sz w:val="18"/>
                <w:szCs w:val="18"/>
              </w:rPr>
              <w:t xml:space="preserve">+13.3%</w:t>
            </w:r>
          </w:p>
        </w:tc>
      </w:tr>
      <w:tr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AAL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FQ4 '26</w:t>
            </w:r>
          </w:p>
        </w:tc>
        <w:tc>
          <w:tcPr>
            <w:tcW w:type="dxa" w:w="31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Wall St EPS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0.42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0.47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E6B33"/>
                <w:sz w:val="18"/>
                <w:szCs w:val="18"/>
              </w:rPr>
              <w:t xml:space="preserve">+11.9%</w:t>
            </w:r>
          </w:p>
        </w:tc>
      </w:tr>
      <w:tr>
        <w:tc>
          <w:tcPr>
            <w:tcW w:type="dxa" w:w="13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XOM</w:t>
            </w:r>
          </w:p>
        </w:tc>
        <w:tc>
          <w:tcPr>
            <w:tcW w:type="dxa" w:w="16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FQ3 '26</w:t>
            </w:r>
          </w:p>
        </w:tc>
        <w:tc>
          <w:tcPr>
            <w:tcW w:type="dxa" w:w="318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Estimize EPS</w:t>
            </w:r>
          </w:p>
        </w:tc>
        <w:tc>
          <w:tcPr>
            <w:tcW w:type="dxa" w:w="13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3.41</w:t>
            </w:r>
          </w:p>
        </w:tc>
        <w:tc>
          <w:tcPr>
            <w:tcW w:type="dxa" w:w="13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3.60</w:t>
            </w:r>
          </w:p>
        </w:tc>
        <w:tc>
          <w:tcPr>
            <w:tcW w:type="dxa" w:w="14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E6B33"/>
                <w:sz w:val="18"/>
                <w:szCs w:val="18"/>
              </w:rPr>
              <w:t xml:space="preserve">+5.6%</w:t>
            </w:r>
          </w:p>
        </w:tc>
      </w:tr>
      <w:tr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DAL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FQ4 '26</w:t>
            </w:r>
          </w:p>
        </w:tc>
        <w:tc>
          <w:tcPr>
            <w:tcW w:type="dxa" w:w="31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Estimize EPS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2.22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1.22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-45.0%</w:t>
            </w:r>
          </w:p>
        </w:tc>
      </w:tr>
      <w:tr>
        <w:tc>
          <w:tcPr>
            <w:tcW w:type="dxa" w:w="13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DAL</w:t>
            </w:r>
          </w:p>
        </w:tc>
        <w:tc>
          <w:tcPr>
            <w:tcW w:type="dxa" w:w="16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FQ3 '26</w:t>
            </w:r>
          </w:p>
        </w:tc>
        <w:tc>
          <w:tcPr>
            <w:tcW w:type="dxa" w:w="318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Estimize EPS</w:t>
            </w:r>
          </w:p>
        </w:tc>
        <w:tc>
          <w:tcPr>
            <w:tcW w:type="dxa" w:w="13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2.22</w:t>
            </w:r>
          </w:p>
        </w:tc>
        <w:tc>
          <w:tcPr>
            <w:tcW w:type="dxa" w:w="13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1.91</w:t>
            </w:r>
          </w:p>
        </w:tc>
        <w:tc>
          <w:tcPr>
            <w:tcW w:type="dxa" w:w="14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-14.0%</w:t>
            </w:r>
          </w:p>
        </w:tc>
      </w:tr>
      <w:tr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AAL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FQ1 '27</w:t>
            </w:r>
          </w:p>
        </w:tc>
        <w:tc>
          <w:tcPr>
            <w:tcW w:type="dxa" w:w="318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Wall St EPS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-0.34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-0.38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-11.8%</w:t>
            </w:r>
          </w:p>
        </w:tc>
      </w:tr>
      <w:tr>
        <w:tc>
          <w:tcPr>
            <w:tcW w:type="dxa" w:w="13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UAL</w:t>
            </w:r>
          </w:p>
        </w:tc>
        <w:tc>
          <w:tcPr>
            <w:tcW w:type="dxa" w:w="16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FQ1 '27</w:t>
            </w:r>
          </w:p>
        </w:tc>
        <w:tc>
          <w:tcPr>
            <w:tcW w:type="dxa" w:w="318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Wall St EPS</w:t>
            </w:r>
          </w:p>
        </w:tc>
        <w:tc>
          <w:tcPr>
            <w:tcW w:type="dxa" w:w="13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1.41</w:t>
            </w:r>
          </w:p>
        </w:tc>
        <w:tc>
          <w:tcPr>
            <w:tcW w:type="dxa" w:w="13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8"/>
                <w:szCs w:val="18"/>
              </w:rPr>
              <w:t xml:space="preserve">1.32</w:t>
            </w:r>
          </w:p>
        </w:tc>
        <w:tc>
          <w:tcPr>
            <w:tcW w:type="dxa" w:w="1400"/>
            <w:shd w:fill="F2F5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B00020"/>
                <w:sz w:val="18"/>
                <w:szCs w:val="18"/>
              </w:rPr>
              <w:t xml:space="preserve">-6.4%</w:t>
            </w:r>
          </w:p>
        </w:tc>
      </w:tr>
    </w:tbl>
    <w:p>
      <w:pPr>
        <w:pStyle w:val="Heading1"/>
        <w:spacing w:before="200" w:after="90"/>
      </w:pPr>
      <w:r>
        <w:rPr>
          <w:rFonts w:ascii="Calibri" w:cs="Calibri" w:eastAsia="Calibri" w:hAnsi="Calibri"/>
          <w:b/>
          <w:bCs/>
          <w:color w:val="1F3864"/>
          <w:sz w:val="30"/>
          <w:szCs w:val="30"/>
        </w:rPr>
        <w:t xml:space="preserve">Data Quality, Conflicts and Gaps - read before acting</w:t>
      </w:r>
    </w:p>
    <w:p>
      <w:pPr>
        <w:pStyle w:val="ListParagraph"/>
        <w:numPr>
          <w:ilvl w:val="0"/>
          <w:numId w:val="1"/>
        </w:numPr>
        <w:spacing w:after="70" w:before="0"/>
      </w:pPr>
      <w:r>
        <w:rPr>
          <w:rFonts w:ascii="Calibri" w:cs="Calibri" w:eastAsia="Calibri" w:hAnsi="Calibri"/>
          <w:b/>
          <w:bCs/>
          <w:color w:val="B00020"/>
          <w:sz w:val="19"/>
          <w:szCs w:val="19"/>
        </w:rPr>
        <w:t xml:space="preserve">Price conflict, SNDK: 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SynRae snapshot $1,712.00 (-3.70%) vs Investing.com quoting $1,777.80 for 28-Sep. Unreconciled - verify on a live feed before trading. CRDO is a trivial mismatch ($192.61 snapshot vs $192.67 GuruFocus); BE ($262.87) and the CBRS insider print match external sources exactly.</w:t>
      </w:r>
    </w:p>
    <w:p>
      <w:pPr>
        <w:pStyle w:val="ListParagraph"/>
        <w:numPr>
          <w:ilvl w:val="0"/>
          <w:numId w:val="1"/>
        </w:numPr>
        <w:spacing w:after="70" w:before="0"/>
      </w:pPr>
      <w:r>
        <w:rPr>
          <w:rFonts w:ascii="Calibri" w:cs="Calibri" w:eastAsia="Calibri" w:hAnsi="Calibri"/>
          <w:b/>
          <w:bCs/>
          <w:color w:val="B00020"/>
          <w:sz w:val="19"/>
          <w:szCs w:val="19"/>
        </w:rPr>
        <w:t xml:space="preserve">Finviz insider ticker field is corrupted: 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the leading character is duplicated (MMEDP to MEDP, QQCOM to QCOM, DDDOG to DDOG). Separately, identical Berkshire Hathaway buys (653,320 shares at $80.88) appear mapped to LEN, BRK-A and BRK-B simultaneously. Treat every insider ticker as unverified until checked against the underlying Form 4.</w:t>
      </w:r>
    </w:p>
    <w:p>
      <w:pPr>
        <w:pStyle w:val="ListParagraph"/>
        <w:numPr>
          <w:ilvl w:val="0"/>
          <w:numId w:val="1"/>
        </w:numPr>
        <w:spacing w:after="70" w:before="0"/>
      </w:pPr>
      <w:r>
        <w:rPr>
          <w:rFonts w:ascii="Calibri" w:cs="Calibri" w:eastAsia="Calibri" w:hAnsi="Calibri"/>
          <w:b/>
          <w:bCs/>
          <w:color w:val="B00020"/>
          <w:sz w:val="19"/>
          <w:szCs w:val="19"/>
        </w:rPr>
        <w:t xml:space="preserve">Empty tables: 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barchart_quotes, barchart_option_expiry_stats, barchart_combined_views and scanner_results all returned 0 rows. We have no options / implied-volatility, skew or scanner input today - this note is flow- and news-driven only.</w:t>
      </w:r>
    </w:p>
    <w:p>
      <w:pPr>
        <w:pStyle w:val="ListParagraph"/>
        <w:numPr>
          <w:ilvl w:val="0"/>
          <w:numId w:val="1"/>
        </w:numPr>
        <w:spacing w:after="70" w:before="0"/>
      </w:pPr>
      <w:r>
        <w:rPr>
          <w:rFonts w:ascii="Calibri" w:cs="Calibri" w:eastAsia="Calibri" w:hAnsi="Calibri"/>
          <w:b/>
          <w:bCs/>
          <w:color w:val="000000"/>
          <w:sz w:val="19"/>
          <w:szCs w:val="19"/>
        </w:rPr>
        <w:t xml:space="preserve">Stale or low-information: 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Quiver congressional data covers only ZTS, latest trade 17-Jul-26, with placeholder-looking $1,001 amounts throughout. No signal; excluded. The Estimize detail file covers only PM and SEDG.</w:t>
      </w:r>
    </w:p>
    <w:p>
      <w:pPr>
        <w:pStyle w:val="ListParagraph"/>
        <w:numPr>
          <w:ilvl w:val="0"/>
          <w:numId w:val="1"/>
        </w:numPr>
        <w:spacing w:after="70" w:before="0"/>
      </w:pPr>
      <w:r>
        <w:rPr>
          <w:rFonts w:ascii="Calibri" w:cs="Calibri" w:eastAsia="Calibri" w:hAnsi="Calibri"/>
          <w:b/>
          <w:bCs/>
          <w:color w:val="000000"/>
          <w:sz w:val="19"/>
          <w:szCs w:val="19"/>
        </w:rPr>
        <w:t xml:space="preserve">Timestamps: 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Futu flows 28-Sep 16:00 ET; Finviz insiders 28-Sep 17:00 ET; Estimize and Quiver 26-Sep; snapshot generated 29-Sep 03:02 ET.</w:t>
      </w:r>
    </w:p>
    <w:p>
      <w:pPr>
        <w:pStyle w:val="ListParagraph"/>
        <w:numPr>
          <w:ilvl w:val="0"/>
          <w:numId w:val="1"/>
        </w:numPr>
        <w:spacing w:after="70" w:before="0"/>
      </w:pPr>
      <w:r>
        <w:rPr>
          <w:rFonts w:ascii="Calibri" w:cs="Calibri" w:eastAsia="Calibri" w:hAnsi="Calibri"/>
          <w:b/>
          <w:bCs/>
          <w:color w:val="000000"/>
          <w:sz w:val="19"/>
          <w:szCs w:val="19"/>
        </w:rPr>
        <w:t xml:space="preserve">Assumptions: </w:t>
      </w:r>
      <w:r>
        <w:rPr>
          <w:rFonts w:ascii="Calibri" w:cs="Calibri" w:eastAsia="Calibri" w:hAnsi="Calibri"/>
          <w:color w:val="000000"/>
          <w:sz w:val="19"/>
          <w:szCs w:val="19"/>
        </w:rPr>
        <w:t xml:space="preserve">percentage changes derived as price_change / (last_price - price_change); "institutional" is proxied by Futu super-lot plus big-lot net capital, which is a size proxy, not a verified holder classification; theme groupings are SynRae Research constructs, not GICS.</w:t>
      </w:r>
    </w:p>
    <w:p>
      <w:pPr>
        <w:pBdr>
          <w:bottom w:val="single" w:color="1F3864" w:sz="8" w:space="1"/>
        </w:pBdr>
        <w:spacing w:after="120"/>
      </w:pPr>
    </w:p>
    <w:p>
      <w:pPr>
        <w:spacing w:after="100" w:before="0"/>
      </w:pPr>
      <w:r>
        <w:rPr>
          <w:rFonts w:ascii="Calibri" w:cs="Calibri" w:eastAsia="Calibri" w:hAnsi="Calibri"/>
          <w:i/>
          <w:iCs/>
          <w:color w:val="595959"/>
          <w:sz w:val="16"/>
          <w:szCs w:val="16"/>
        </w:rPr>
        <w:t xml:space="preserve">Research only - not individualized investment advice. Figures drawn from the SynRae snapshot are proprietary point-in-time data; all external figures are attributed with source and date. Estimates and market-implied probabilities are estimates, not facts.</w:t>
      </w:r>
    </w:p>
    <w:sectPr>
      <w:pgSz w:w="12240" w:h="15840" w:orient="portrait"/>
      <w:pgMar w:top="900" w:right="1080" w:bottom="8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0" w:hanging="2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Morning Note — 29 September 2026</dc:title>
  <dc:creator>SynRae Research</dc:creator>
  <cp:lastModifiedBy>Un-named</cp:lastModifiedBy>
  <cp:revision>1</cp:revision>
  <dcterms:created xsi:type="dcterms:W3CDTF">2026-09-29T07:08:10.550Z</dcterms:created>
  <dcterms:modified xsi:type="dcterms:W3CDTF">2026-09-29T07:08:10.550Z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